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90A8" w14:textId="77777777" w:rsidR="003D433F" w:rsidRDefault="003D433F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14:paraId="01BA8BB5" w14:textId="1C8AE00B" w:rsidR="00975783" w:rsidRPr="00A6458B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D4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6C8E3CDF" w14:textId="77777777" w:rsidR="00DB40F2" w:rsidRPr="00A6458B" w:rsidRDefault="00975783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26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DE7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="00D24126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126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DE7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DE7" w:rsidRPr="00A6458B">
        <w:rPr>
          <w:rFonts w:ascii="Times New Roman" w:eastAsia="Calibri" w:hAnsi="Times New Roman"/>
          <w:sz w:val="28"/>
          <w:szCs w:val="28"/>
        </w:rPr>
        <w:t xml:space="preserve">Укрепление межнационального </w:t>
      </w:r>
    </w:p>
    <w:p w14:paraId="27C237F8" w14:textId="77777777" w:rsidR="00DB40F2" w:rsidRPr="00A6458B" w:rsidRDefault="003F3DE7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Calibri" w:hAnsi="Times New Roman"/>
          <w:sz w:val="28"/>
          <w:szCs w:val="28"/>
        </w:rPr>
        <w:t xml:space="preserve">и </w:t>
      </w:r>
      <w:r w:rsidR="00DB40F2" w:rsidRPr="00A6458B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Pr="00A6458B">
        <w:rPr>
          <w:rFonts w:ascii="Times New Roman" w:eastAsia="Calibri" w:hAnsi="Times New Roman"/>
          <w:sz w:val="28"/>
          <w:szCs w:val="28"/>
        </w:rPr>
        <w:t xml:space="preserve">поддержка и развитие языков </w:t>
      </w:r>
    </w:p>
    <w:p w14:paraId="60E9E05C" w14:textId="2886A353" w:rsidR="003F3DE7" w:rsidRPr="00A6458B" w:rsidRDefault="00DB40F2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Calibri" w:hAnsi="Times New Roman"/>
          <w:sz w:val="28"/>
          <w:szCs w:val="28"/>
        </w:rPr>
        <w:t xml:space="preserve">и культуры народов </w:t>
      </w:r>
      <w:r w:rsidR="003F3DE7" w:rsidRPr="00A6458B">
        <w:rPr>
          <w:rFonts w:ascii="Times New Roman" w:eastAsia="Calibri" w:hAnsi="Times New Roman"/>
          <w:sz w:val="28"/>
          <w:szCs w:val="28"/>
        </w:rPr>
        <w:t xml:space="preserve">Российской Федерации, проживающих на территории </w:t>
      </w:r>
      <w:r w:rsidR="003F3DE7" w:rsidRPr="00A6458B">
        <w:rPr>
          <w:rFonts w:ascii="Times New Roman" w:eastAsia="Calibri" w:hAnsi="Times New Roman"/>
          <w:sz w:val="28"/>
          <w:szCs w:val="28"/>
        </w:rPr>
        <w:br/>
        <w:t>муниципально</w:t>
      </w:r>
      <w:r w:rsidR="00D5135E">
        <w:rPr>
          <w:rFonts w:ascii="Times New Roman" w:eastAsia="Calibri" w:hAnsi="Times New Roman"/>
          <w:sz w:val="28"/>
          <w:szCs w:val="28"/>
        </w:rPr>
        <w:t>го образования Ханты-Мансийский район</w:t>
      </w:r>
      <w:r w:rsidR="003F3DE7" w:rsidRPr="00A6458B">
        <w:rPr>
          <w:rFonts w:ascii="Times New Roman" w:eastAsia="Calibri" w:hAnsi="Times New Roman"/>
          <w:sz w:val="28"/>
          <w:szCs w:val="28"/>
        </w:rPr>
        <w:t xml:space="preserve">, </w:t>
      </w:r>
    </w:p>
    <w:p w14:paraId="4DDC6623" w14:textId="6BBADAF4" w:rsidR="003F3DE7" w:rsidRPr="00D5135E" w:rsidRDefault="00DB40F2" w:rsidP="00D5135E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Calibri" w:hAnsi="Times New Roman"/>
          <w:sz w:val="28"/>
          <w:szCs w:val="28"/>
        </w:rPr>
        <w:t xml:space="preserve">обеспечение социальной </w:t>
      </w:r>
      <w:r w:rsidR="003F3DE7" w:rsidRPr="00A6458B">
        <w:rPr>
          <w:rFonts w:ascii="Times New Roman" w:eastAsia="Calibri" w:hAnsi="Times New Roman"/>
          <w:sz w:val="28"/>
          <w:szCs w:val="28"/>
        </w:rPr>
        <w:t>и культурной адаптации мигрантов, профилактика межнациональных (межэтнических) конфликтов</w:t>
      </w:r>
      <w:r w:rsidR="003F3DE7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1B471B8B" w14:textId="77777777" w:rsidR="00975783" w:rsidRPr="00A6458B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112AB" w14:textId="23F04506" w:rsidR="00C3594E" w:rsidRPr="008F21BF" w:rsidRDefault="00766C38" w:rsidP="003D43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94E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4B9B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финансового обеспечения реализации муниципальной программы</w:t>
      </w:r>
      <w:r w:rsidR="00C3594E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изменяется и соответствует решению Думы </w:t>
      </w:r>
      <w:r w:rsid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94E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</w:t>
      </w:r>
      <w:r w:rsidR="008F21BF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от 15.12.2023 №</w:t>
      </w:r>
      <w:r w:rsidR="00C3594E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391</w:t>
      </w:r>
      <w:r w:rsidR="008F21BF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594E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94E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2024 год и пл</w:t>
      </w:r>
      <w:r w:rsidR="008F21BF"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2025 и 2026 годов».</w:t>
      </w:r>
    </w:p>
    <w:p w14:paraId="098C3B33" w14:textId="1EEBEDF0" w:rsidR="00030CDE" w:rsidRDefault="00030CDE" w:rsidP="00030CDE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целевой</w:t>
      </w:r>
      <w:r w:rsidRPr="00F75E15">
        <w:rPr>
          <w:rFonts w:ascii="Times New Roman" w:hAnsi="Times New Roman" w:cs="Times New Roman"/>
          <w:sz w:val="28"/>
          <w:szCs w:val="28"/>
        </w:rPr>
        <w:t xml:space="preserve"> показатель государственной программы автономного округа, утвержденный постановлением</w:t>
      </w:r>
      <w:r w:rsidR="001F1D77" w:rsidRPr="00F75E1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10.11.2023 </w:t>
      </w:r>
      <w:r w:rsidR="008F21BF">
        <w:rPr>
          <w:rFonts w:ascii="Times New Roman" w:hAnsi="Times New Roman" w:cs="Times New Roman"/>
          <w:sz w:val="28"/>
          <w:szCs w:val="28"/>
        </w:rPr>
        <w:br/>
      </w:r>
      <w:r w:rsidR="001F1D77" w:rsidRPr="00F75E15">
        <w:rPr>
          <w:rFonts w:ascii="Times New Roman" w:hAnsi="Times New Roman" w:cs="Times New Roman"/>
          <w:sz w:val="28"/>
          <w:szCs w:val="28"/>
        </w:rPr>
        <w:t>№ 545-п «О государственной программе Ханты-Мансийского автономного округа – Югры «Государственная национальная полит</w:t>
      </w:r>
      <w:r w:rsidRPr="00F75E15">
        <w:rPr>
          <w:rFonts w:ascii="Times New Roman" w:hAnsi="Times New Roman" w:cs="Times New Roman"/>
          <w:sz w:val="28"/>
          <w:szCs w:val="28"/>
        </w:rPr>
        <w:t xml:space="preserve">ика и профилактика экстремизма» Проектом предлагается исключение из паспорта муниципальной программы целевого показателя  «Количество участников мероприятий, направленных на укрепление общероссийского гражданского единства, тыс. </w:t>
      </w:r>
      <w:r w:rsidR="006B0874">
        <w:rPr>
          <w:rFonts w:ascii="Times New Roman" w:hAnsi="Times New Roman" w:cs="Times New Roman"/>
          <w:sz w:val="28"/>
          <w:szCs w:val="28"/>
        </w:rPr>
        <w:t>ч</w:t>
      </w:r>
      <w:r w:rsidRPr="00F75E15">
        <w:rPr>
          <w:rFonts w:ascii="Times New Roman" w:hAnsi="Times New Roman" w:cs="Times New Roman"/>
          <w:sz w:val="28"/>
          <w:szCs w:val="28"/>
        </w:rPr>
        <w:t>ел.» на целевой показатель «Доля граждан, положительно оценивающих состояние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2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автономном округе, в общем количестве граждан,%» с установлением базового значения показателя  - 89,0%. Значение показателя по годам</w:t>
      </w:r>
      <w:r w:rsidR="008F21BF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: 2022 – 89,0%, 2023 – 89,1 %, 2024 – 89,2%; </w:t>
      </w:r>
      <w:r w:rsidR="00F75E15">
        <w:rPr>
          <w:rFonts w:ascii="Times New Roman" w:hAnsi="Times New Roman" w:cs="Times New Roman"/>
          <w:sz w:val="28"/>
          <w:szCs w:val="28"/>
        </w:rPr>
        <w:t>2025</w:t>
      </w:r>
      <w:r w:rsidR="00A07204">
        <w:rPr>
          <w:rFonts w:ascii="Times New Roman" w:hAnsi="Times New Roman" w:cs="Times New Roman"/>
          <w:sz w:val="28"/>
          <w:szCs w:val="28"/>
        </w:rPr>
        <w:br/>
      </w:r>
      <w:r w:rsidR="00F75E15">
        <w:rPr>
          <w:rFonts w:ascii="Times New Roman" w:hAnsi="Times New Roman" w:cs="Times New Roman"/>
          <w:sz w:val="28"/>
          <w:szCs w:val="28"/>
        </w:rPr>
        <w:t xml:space="preserve"> – 89,3 %; 2026 – 89,4 %. Значение показателя на момент окончания реализации программы – 89,5 %.</w:t>
      </w:r>
    </w:p>
    <w:p w14:paraId="189F6961" w14:textId="12D91470" w:rsidR="00F75E15" w:rsidRPr="00F75E15" w:rsidRDefault="00F75E15" w:rsidP="00AC1E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E15">
        <w:rPr>
          <w:rFonts w:ascii="Times New Roman" w:hAnsi="Times New Roman" w:cs="Times New Roman"/>
          <w:sz w:val="28"/>
          <w:szCs w:val="28"/>
        </w:rPr>
        <w:t xml:space="preserve">Значение показателя по годам определено исходя из увеличения доли граждан, положительно оценивающих состояние межнациональных отношений в муниципальном образовании. </w:t>
      </w:r>
    </w:p>
    <w:p w14:paraId="4AC618E9" w14:textId="2CC6B7D7" w:rsidR="00F75E15" w:rsidRPr="00F75E15" w:rsidRDefault="00F75E15" w:rsidP="008B4B9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E1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4B9B">
        <w:rPr>
          <w:rFonts w:ascii="Times New Roman" w:hAnsi="Times New Roman" w:cs="Times New Roman"/>
          <w:sz w:val="28"/>
          <w:szCs w:val="28"/>
        </w:rPr>
        <w:t xml:space="preserve">справочной информации, приведенной в </w:t>
      </w:r>
      <w:r w:rsidRPr="00F75E15">
        <w:rPr>
          <w:rFonts w:ascii="Times New Roman" w:hAnsi="Times New Roman" w:cs="Times New Roman"/>
          <w:sz w:val="28"/>
          <w:szCs w:val="28"/>
        </w:rPr>
        <w:t>пояснительной записке</w:t>
      </w:r>
      <w:r w:rsidR="008B4B9B">
        <w:rPr>
          <w:rFonts w:ascii="Times New Roman" w:hAnsi="Times New Roman" w:cs="Times New Roman"/>
          <w:sz w:val="28"/>
          <w:szCs w:val="28"/>
        </w:rPr>
        <w:t>,</w:t>
      </w:r>
      <w:r w:rsidRPr="00F75E15">
        <w:rPr>
          <w:rFonts w:ascii="Times New Roman" w:hAnsi="Times New Roman" w:cs="Times New Roman"/>
          <w:sz w:val="28"/>
          <w:szCs w:val="28"/>
        </w:rPr>
        <w:t xml:space="preserve"> изучение состояния межнациональных отношений </w:t>
      </w:r>
      <w:r w:rsidR="008F21BF">
        <w:rPr>
          <w:rFonts w:ascii="Times New Roman" w:hAnsi="Times New Roman" w:cs="Times New Roman"/>
          <w:sz w:val="28"/>
          <w:szCs w:val="28"/>
        </w:rPr>
        <w:br/>
      </w:r>
      <w:r w:rsidR="008B4B9B">
        <w:rPr>
          <w:rFonts w:ascii="Times New Roman" w:hAnsi="Times New Roman" w:cs="Times New Roman"/>
          <w:sz w:val="28"/>
          <w:szCs w:val="28"/>
        </w:rPr>
        <w:t>в муниципальных</w:t>
      </w:r>
      <w:r w:rsidRPr="00F75E1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B4B9B">
        <w:rPr>
          <w:rFonts w:ascii="Times New Roman" w:hAnsi="Times New Roman" w:cs="Times New Roman"/>
          <w:sz w:val="28"/>
          <w:szCs w:val="28"/>
        </w:rPr>
        <w:t xml:space="preserve">х Ханты-Мансийского автономного округа </w:t>
      </w:r>
      <w:r w:rsidRPr="00F75E15">
        <w:rPr>
          <w:rFonts w:ascii="Times New Roman" w:hAnsi="Times New Roman" w:cs="Times New Roman"/>
          <w:sz w:val="28"/>
          <w:szCs w:val="28"/>
        </w:rPr>
        <w:t xml:space="preserve"> </w:t>
      </w:r>
      <w:r w:rsidR="008B4B9B">
        <w:rPr>
          <w:rFonts w:ascii="Times New Roman" w:hAnsi="Times New Roman" w:cs="Times New Roman"/>
          <w:sz w:val="28"/>
          <w:szCs w:val="28"/>
        </w:rPr>
        <w:br/>
        <w:t xml:space="preserve">– Югры </w:t>
      </w:r>
      <w:r w:rsidRPr="00F75E15">
        <w:rPr>
          <w:rFonts w:ascii="Times New Roman" w:hAnsi="Times New Roman" w:cs="Times New Roman"/>
          <w:sz w:val="28"/>
          <w:szCs w:val="28"/>
        </w:rPr>
        <w:t xml:space="preserve">проводится Всероссийским центром изучения общественного мнения в ходе ежегодного комплексного исследования, включающего </w:t>
      </w:r>
      <w:r w:rsidR="008F21BF">
        <w:rPr>
          <w:rFonts w:ascii="Times New Roman" w:hAnsi="Times New Roman" w:cs="Times New Roman"/>
          <w:sz w:val="28"/>
          <w:szCs w:val="28"/>
        </w:rPr>
        <w:br/>
      </w:r>
      <w:r w:rsidRPr="00F75E15">
        <w:rPr>
          <w:rFonts w:ascii="Times New Roman" w:hAnsi="Times New Roman" w:cs="Times New Roman"/>
          <w:sz w:val="28"/>
          <w:szCs w:val="28"/>
        </w:rPr>
        <w:t xml:space="preserve">в себя экспортное интервью и количественный опрос населения муниципалитетов Югры. </w:t>
      </w:r>
    </w:p>
    <w:p w14:paraId="63520A2A" w14:textId="77777777" w:rsidR="00A07204" w:rsidRDefault="005A687C" w:rsidP="00A072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E15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14:paraId="514722E2" w14:textId="7A95E3D3" w:rsidR="005C238F" w:rsidRDefault="00B77279" w:rsidP="00A072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99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финансово-экономической экспертизы</w:t>
      </w:r>
      <w:r w:rsidR="00A07204">
        <w:rPr>
          <w:rFonts w:ascii="Times New Roman" w:hAnsi="Times New Roman" w:cs="Times New Roman"/>
          <w:sz w:val="28"/>
          <w:szCs w:val="28"/>
        </w:rPr>
        <w:t xml:space="preserve"> </w:t>
      </w:r>
      <w:r w:rsidRPr="00F9199F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14:paraId="61D7D852" w14:textId="3092AF30" w:rsidR="002F30F3" w:rsidRDefault="002F30F3" w:rsidP="005C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30F3" w:rsidSect="00DE341C">
      <w:footerReference w:type="default" r:id="rId8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FFA9" w14:textId="77777777" w:rsidR="004A1C2B" w:rsidRDefault="004A1C2B" w:rsidP="00617B40">
      <w:pPr>
        <w:spacing w:after="0" w:line="240" w:lineRule="auto"/>
      </w:pPr>
      <w:r>
        <w:separator/>
      </w:r>
    </w:p>
  </w:endnote>
  <w:endnote w:type="continuationSeparator" w:id="0">
    <w:p w14:paraId="795F11D0" w14:textId="77777777" w:rsidR="004A1C2B" w:rsidRDefault="004A1C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7169"/>
      <w:docPartObj>
        <w:docPartGallery w:val="Page Numbers (Bottom of Page)"/>
        <w:docPartUnique/>
      </w:docPartObj>
    </w:sdtPr>
    <w:sdtEndPr/>
    <w:sdtContent>
      <w:p w14:paraId="332DC480" w14:textId="305E2212" w:rsidR="004A1C2B" w:rsidRDefault="00686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82CAD" w14:textId="77777777" w:rsidR="004A1C2B" w:rsidRDefault="004A1C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1084" w14:textId="77777777" w:rsidR="004A1C2B" w:rsidRDefault="004A1C2B" w:rsidP="00617B40">
      <w:pPr>
        <w:spacing w:after="0" w:line="240" w:lineRule="auto"/>
      </w:pPr>
      <w:r>
        <w:separator/>
      </w:r>
    </w:p>
  </w:footnote>
  <w:footnote w:type="continuationSeparator" w:id="0">
    <w:p w14:paraId="756B52B1" w14:textId="77777777" w:rsidR="004A1C2B" w:rsidRDefault="004A1C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0CDE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6E1C"/>
    <w:rsid w:val="00070413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7F7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4E7B"/>
    <w:rsid w:val="00100531"/>
    <w:rsid w:val="00101923"/>
    <w:rsid w:val="00101E91"/>
    <w:rsid w:val="00105399"/>
    <w:rsid w:val="0010564B"/>
    <w:rsid w:val="0011013B"/>
    <w:rsid w:val="0011155B"/>
    <w:rsid w:val="001134F0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B75AD"/>
    <w:rsid w:val="001C4C4A"/>
    <w:rsid w:val="001C5C3F"/>
    <w:rsid w:val="001D0DFA"/>
    <w:rsid w:val="001D51A6"/>
    <w:rsid w:val="001D77CA"/>
    <w:rsid w:val="001E1E64"/>
    <w:rsid w:val="001E383D"/>
    <w:rsid w:val="001F06A4"/>
    <w:rsid w:val="001F1D77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377EA"/>
    <w:rsid w:val="00241455"/>
    <w:rsid w:val="002439E0"/>
    <w:rsid w:val="00251266"/>
    <w:rsid w:val="00251E86"/>
    <w:rsid w:val="002529F0"/>
    <w:rsid w:val="00256A7A"/>
    <w:rsid w:val="00261D49"/>
    <w:rsid w:val="00270691"/>
    <w:rsid w:val="00272360"/>
    <w:rsid w:val="002734BE"/>
    <w:rsid w:val="00273D1E"/>
    <w:rsid w:val="00276B61"/>
    <w:rsid w:val="00286577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49CC"/>
    <w:rsid w:val="00297A80"/>
    <w:rsid w:val="002A0735"/>
    <w:rsid w:val="002A082B"/>
    <w:rsid w:val="002A0B83"/>
    <w:rsid w:val="002A0D7C"/>
    <w:rsid w:val="002A15EA"/>
    <w:rsid w:val="002A60E7"/>
    <w:rsid w:val="002A755D"/>
    <w:rsid w:val="002A75A0"/>
    <w:rsid w:val="002A7CEE"/>
    <w:rsid w:val="002C1205"/>
    <w:rsid w:val="002C4E2C"/>
    <w:rsid w:val="002C7D3E"/>
    <w:rsid w:val="002D0994"/>
    <w:rsid w:val="002D0B45"/>
    <w:rsid w:val="002D5AB9"/>
    <w:rsid w:val="002D75B6"/>
    <w:rsid w:val="002E1214"/>
    <w:rsid w:val="002E469A"/>
    <w:rsid w:val="002E4DE1"/>
    <w:rsid w:val="002E6D22"/>
    <w:rsid w:val="002F1608"/>
    <w:rsid w:val="002F30F3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668"/>
    <w:rsid w:val="00350FF8"/>
    <w:rsid w:val="00352895"/>
    <w:rsid w:val="00354FE5"/>
    <w:rsid w:val="003571D7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1CE"/>
    <w:rsid w:val="0039735C"/>
    <w:rsid w:val="00397EFC"/>
    <w:rsid w:val="003D1381"/>
    <w:rsid w:val="003D433F"/>
    <w:rsid w:val="003D5088"/>
    <w:rsid w:val="003E0009"/>
    <w:rsid w:val="003F2294"/>
    <w:rsid w:val="003F2416"/>
    <w:rsid w:val="003F3603"/>
    <w:rsid w:val="003F3ACC"/>
    <w:rsid w:val="003F3DE7"/>
    <w:rsid w:val="003F7605"/>
    <w:rsid w:val="003F7904"/>
    <w:rsid w:val="004032AD"/>
    <w:rsid w:val="00403E7A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584"/>
    <w:rsid w:val="0044495B"/>
    <w:rsid w:val="0044500A"/>
    <w:rsid w:val="00446AC1"/>
    <w:rsid w:val="004522E5"/>
    <w:rsid w:val="00456266"/>
    <w:rsid w:val="00463958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95F3F"/>
    <w:rsid w:val="004A0996"/>
    <w:rsid w:val="004A1C2B"/>
    <w:rsid w:val="004A29BF"/>
    <w:rsid w:val="004A7009"/>
    <w:rsid w:val="004A7241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5BFD"/>
    <w:rsid w:val="004C69C5"/>
    <w:rsid w:val="004C7125"/>
    <w:rsid w:val="004D15BF"/>
    <w:rsid w:val="004D3E37"/>
    <w:rsid w:val="004E2609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4749"/>
    <w:rsid w:val="005610FB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238F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076D3"/>
    <w:rsid w:val="006101CC"/>
    <w:rsid w:val="006115F6"/>
    <w:rsid w:val="006129F6"/>
    <w:rsid w:val="00612CB0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015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8684C"/>
    <w:rsid w:val="0069512E"/>
    <w:rsid w:val="006966C8"/>
    <w:rsid w:val="00696907"/>
    <w:rsid w:val="006970A6"/>
    <w:rsid w:val="006A5B30"/>
    <w:rsid w:val="006A7184"/>
    <w:rsid w:val="006A7CBA"/>
    <w:rsid w:val="006A7E95"/>
    <w:rsid w:val="006B0874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13E2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55B7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201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1305"/>
    <w:rsid w:val="008A22FB"/>
    <w:rsid w:val="008A270F"/>
    <w:rsid w:val="008A2ADF"/>
    <w:rsid w:val="008A2B6B"/>
    <w:rsid w:val="008A390C"/>
    <w:rsid w:val="008A3A28"/>
    <w:rsid w:val="008A4AF3"/>
    <w:rsid w:val="008B093B"/>
    <w:rsid w:val="008B3F46"/>
    <w:rsid w:val="008B4B9B"/>
    <w:rsid w:val="008C0E8F"/>
    <w:rsid w:val="008C1241"/>
    <w:rsid w:val="008C2ACB"/>
    <w:rsid w:val="008C3F85"/>
    <w:rsid w:val="008D1299"/>
    <w:rsid w:val="008D4BE1"/>
    <w:rsid w:val="008D6252"/>
    <w:rsid w:val="008E2B4F"/>
    <w:rsid w:val="008E4021"/>
    <w:rsid w:val="008E4601"/>
    <w:rsid w:val="008F0C80"/>
    <w:rsid w:val="008F21BF"/>
    <w:rsid w:val="008F35FD"/>
    <w:rsid w:val="008F527F"/>
    <w:rsid w:val="00901973"/>
    <w:rsid w:val="00901B9B"/>
    <w:rsid w:val="0090238D"/>
    <w:rsid w:val="0090286F"/>
    <w:rsid w:val="00903CF1"/>
    <w:rsid w:val="00910DCD"/>
    <w:rsid w:val="00915009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2B59"/>
    <w:rsid w:val="00943F6E"/>
    <w:rsid w:val="0094627F"/>
    <w:rsid w:val="009519F9"/>
    <w:rsid w:val="00952870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71A"/>
    <w:rsid w:val="00981F02"/>
    <w:rsid w:val="00983CAA"/>
    <w:rsid w:val="0098788C"/>
    <w:rsid w:val="009917B5"/>
    <w:rsid w:val="00994CA9"/>
    <w:rsid w:val="009975A8"/>
    <w:rsid w:val="009A231B"/>
    <w:rsid w:val="009B088D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07204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458B"/>
    <w:rsid w:val="00A675F3"/>
    <w:rsid w:val="00A67C9F"/>
    <w:rsid w:val="00A7121B"/>
    <w:rsid w:val="00A72732"/>
    <w:rsid w:val="00A72898"/>
    <w:rsid w:val="00A74919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1E87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67BBD"/>
    <w:rsid w:val="00B70A46"/>
    <w:rsid w:val="00B72598"/>
    <w:rsid w:val="00B7275C"/>
    <w:rsid w:val="00B73BE4"/>
    <w:rsid w:val="00B75E95"/>
    <w:rsid w:val="00B76CD1"/>
    <w:rsid w:val="00B77279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25BC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03E"/>
    <w:rsid w:val="00C06776"/>
    <w:rsid w:val="00C10165"/>
    <w:rsid w:val="00C1360C"/>
    <w:rsid w:val="00C16253"/>
    <w:rsid w:val="00C20B8D"/>
    <w:rsid w:val="00C21D1F"/>
    <w:rsid w:val="00C239F1"/>
    <w:rsid w:val="00C2523E"/>
    <w:rsid w:val="00C3594E"/>
    <w:rsid w:val="00C36F0C"/>
    <w:rsid w:val="00C36F5A"/>
    <w:rsid w:val="00C4059C"/>
    <w:rsid w:val="00C409C1"/>
    <w:rsid w:val="00C468A2"/>
    <w:rsid w:val="00C51F70"/>
    <w:rsid w:val="00C5360A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6685"/>
    <w:rsid w:val="00D42520"/>
    <w:rsid w:val="00D43162"/>
    <w:rsid w:val="00D4701F"/>
    <w:rsid w:val="00D5135E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40F2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DF5B0C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6D54"/>
    <w:rsid w:val="00E47443"/>
    <w:rsid w:val="00E505BF"/>
    <w:rsid w:val="00E508F8"/>
    <w:rsid w:val="00E516F7"/>
    <w:rsid w:val="00E52D09"/>
    <w:rsid w:val="00E554F0"/>
    <w:rsid w:val="00E55838"/>
    <w:rsid w:val="00E624C3"/>
    <w:rsid w:val="00E62935"/>
    <w:rsid w:val="00E64609"/>
    <w:rsid w:val="00E65660"/>
    <w:rsid w:val="00E75EF4"/>
    <w:rsid w:val="00E82D86"/>
    <w:rsid w:val="00E838FF"/>
    <w:rsid w:val="00E859BD"/>
    <w:rsid w:val="00E94931"/>
    <w:rsid w:val="00E9504B"/>
    <w:rsid w:val="00E97880"/>
    <w:rsid w:val="00EA1215"/>
    <w:rsid w:val="00EA1471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3F29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5E15"/>
    <w:rsid w:val="00F765C7"/>
    <w:rsid w:val="00F8128F"/>
    <w:rsid w:val="00F84DB0"/>
    <w:rsid w:val="00F85CED"/>
    <w:rsid w:val="00F86525"/>
    <w:rsid w:val="00F87E65"/>
    <w:rsid w:val="00F9132C"/>
    <w:rsid w:val="00F9199F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780"/>
    <w:rsid w:val="00FD0AA7"/>
    <w:rsid w:val="00FD0EB3"/>
    <w:rsid w:val="00FE032E"/>
    <w:rsid w:val="00FE367D"/>
    <w:rsid w:val="00FE5F7F"/>
    <w:rsid w:val="00FE71F9"/>
    <w:rsid w:val="00FF12C7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417B2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5275-85F2-4A13-877D-ED8556C3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2024-03-14T11:30:00Z</dcterms:modified>
</cp:coreProperties>
</file>